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rtl w:val="off"/>
        </w:rPr>
        <w:t xml:space="preserve">ОТЧЕТ О ВЫПОЛНЕНИИ </w:t>
      </w:r>
      <w:r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  <w:rtl w:val="off"/>
        </w:rPr>
        <w:t>ГО</w:t>
      </w:r>
      <w:r>
        <w:rPr>
          <w:rFonts w:ascii="Times New Roman" w:hAnsi="Times New Roman" w:cs="Times New Roman"/>
          <w:b/>
        </w:rPr>
        <w:t xml:space="preserve"> ЗАДАНИ</w:t>
      </w:r>
      <w:r>
        <w:rPr>
          <w:rFonts w:ascii="Times New Roman" w:hAnsi="Times New Roman" w:cs="Times New Roman"/>
          <w:b/>
          <w:rtl w:val="off"/>
        </w:rPr>
        <w:t>Я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год и на плановый период 2021  и 2022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18064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812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2022-03-16T05:31:52Z</dcterms:modified>
  <cp:lastPrinted>2020-02-07T09:50:00Z</cp:lastPrinted>
  <cp:version>0900.0000.01</cp:version>
</cp:coreProperties>
</file>